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849C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  <w:bookmarkStart w:id="0" w:name="_GoBack"/>
      <w:bookmarkEnd w:id="0"/>
    </w:p>
    <w:p w14:paraId="71444BE1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641FF6A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3945CDD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45F59568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79717F6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1230D32E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762259DC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1EDE381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672EF8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4E19DAC9" w14:textId="77777777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672EF8">
        <w:rPr>
          <w:rFonts w:ascii="Arial" w:hAnsi="Arial" w:cs="Arial"/>
        </w:rPr>
        <w:t xml:space="preserve">ve věcech technických – </w:t>
      </w:r>
      <w:r w:rsidR="00672EF8" w:rsidRPr="00672EF8">
        <w:rPr>
          <w:rFonts w:ascii="Arial" w:hAnsi="Arial" w:cs="Arial"/>
        </w:rPr>
        <w:t>Ing. Markéta Samcová</w:t>
      </w:r>
      <w:r w:rsidRPr="00672EF8">
        <w:rPr>
          <w:rFonts w:ascii="Arial" w:hAnsi="Arial" w:cs="Arial"/>
        </w:rPr>
        <w:t>,</w:t>
      </w:r>
      <w:r w:rsidR="00672EF8" w:rsidRPr="00672EF8">
        <w:rPr>
          <w:rFonts w:ascii="Arial" w:hAnsi="Arial" w:cs="Arial"/>
        </w:rPr>
        <w:t xml:space="preserve"> projektová manažerka</w:t>
      </w:r>
      <w:r w:rsidRPr="00672EF8">
        <w:rPr>
          <w:rFonts w:ascii="Arial" w:hAnsi="Arial" w:cs="Arial"/>
        </w:rPr>
        <w:t xml:space="preserve">, </w:t>
      </w:r>
      <w:r w:rsidR="009F42D2" w:rsidRPr="00672EF8">
        <w:rPr>
          <w:rFonts w:ascii="Arial" w:hAnsi="Arial" w:cs="Arial"/>
        </w:rPr>
        <w:t>e</w:t>
      </w:r>
      <w:r w:rsidR="009F42D2" w:rsidRPr="00672EF8">
        <w:rPr>
          <w:rFonts w:ascii="Arial" w:hAnsi="Arial" w:cs="Arial"/>
        </w:rPr>
        <w:noBreakHyphen/>
        <w:t xml:space="preserve">mail: </w:t>
      </w:r>
      <w:hyperlink r:id="rId8" w:history="1">
        <w:r w:rsidR="00672EF8" w:rsidRPr="00672EF8">
          <w:rPr>
            <w:rStyle w:val="Hypertextovodkaz"/>
            <w:rFonts w:ascii="Arial" w:hAnsi="Arial" w:cs="Arial"/>
          </w:rPr>
          <w:t>samcova@mestodobris.cz</w:t>
        </w:r>
      </w:hyperlink>
      <w:r w:rsidR="009F42D2" w:rsidRPr="00672EF8">
        <w:rPr>
          <w:rFonts w:ascii="Arial" w:hAnsi="Arial" w:cs="Arial"/>
        </w:rPr>
        <w:t xml:space="preserve">, </w:t>
      </w:r>
      <w:r w:rsidRPr="00672EF8">
        <w:rPr>
          <w:rFonts w:ascii="Arial" w:hAnsi="Arial" w:cs="Arial"/>
        </w:rPr>
        <w:t xml:space="preserve">tel.: </w:t>
      </w:r>
      <w:r w:rsidR="00672EF8" w:rsidRPr="00672EF8">
        <w:rPr>
          <w:rFonts w:ascii="Arial" w:hAnsi="Arial" w:cs="Arial"/>
        </w:rPr>
        <w:t>318 533 310</w:t>
      </w:r>
      <w:r w:rsidRPr="001C105A">
        <w:rPr>
          <w:rFonts w:ascii="Arial" w:hAnsi="Arial" w:cs="Arial"/>
        </w:rPr>
        <w:t xml:space="preserve"> </w:t>
      </w:r>
    </w:p>
    <w:p w14:paraId="50EB3F77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6BEE8807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38E55F8B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528F19A8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56D82AC8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3DEE11F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133623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5B4B574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7461334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4FF868B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07D5B9CE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2D45C35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863C09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55E02E7B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1464056B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5C30A074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50886006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AD8B6E0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06EC6A0C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36AD0A74" w14:textId="77777777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672EF8">
        <w:rPr>
          <w:rFonts w:ascii="Arial" w:hAnsi="Arial" w:cs="Arial"/>
          <w:b/>
          <w:bCs/>
          <w:sz w:val="24"/>
          <w:szCs w:val="24"/>
        </w:rPr>
        <w:t>Revitalizace dvora ZŠ Lidická v Dobříši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2776D18B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14518D54" w14:textId="77777777" w:rsid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672EF8">
        <w:rPr>
          <w:rFonts w:ascii="Arial" w:hAnsi="Arial" w:cs="Arial"/>
        </w:rPr>
        <w:t>Revitalizace dvora ZŠ Lidická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672EF8">
        <w:rPr>
          <w:rFonts w:ascii="Arial" w:hAnsi="Arial" w:cs="Arial"/>
        </w:rPr>
        <w:t>Ing. Klára Stachová (ČKA 04578)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lastRenderedPageBreak/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17A77C1A" w14:textId="77777777" w:rsidR="0082022E" w:rsidRPr="001C105A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>
        <w:rPr>
          <w:rFonts w:ascii="Arial" w:hAnsi="Arial" w:cs="Arial"/>
        </w:rPr>
        <w:t xml:space="preserve">. </w:t>
      </w:r>
      <w:r w:rsidR="00463B6D" w:rsidRPr="00672EF8">
        <w:rPr>
          <w:rFonts w:ascii="Arial" w:hAnsi="Arial" w:cs="Arial"/>
        </w:rPr>
        <w:t>II odst. 1</w:t>
      </w:r>
      <w:r w:rsidR="00D31161" w:rsidRPr="00672EF8">
        <w:rPr>
          <w:rFonts w:ascii="Arial" w:hAnsi="Arial" w:cs="Arial"/>
        </w:rPr>
        <w:t xml:space="preserve"> písm. a)</w:t>
      </w:r>
      <w:r w:rsidR="00EF68E0" w:rsidRPr="00672EF8">
        <w:rPr>
          <w:rFonts w:ascii="Arial" w:hAnsi="Arial" w:cs="Arial"/>
        </w:rPr>
        <w:t xml:space="preserve"> a</w:t>
      </w:r>
      <w:r w:rsidR="00D31161" w:rsidRPr="00672EF8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0F50A7D9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 xml:space="preserve">tému v této smlouvě a dle příslušné zadávací projektové dokumentace a v rozsahu dle čl. </w:t>
      </w:r>
      <w:r w:rsidR="00520D92" w:rsidRPr="00672EF8">
        <w:rPr>
          <w:rFonts w:ascii="Arial" w:hAnsi="Arial" w:cs="Arial"/>
        </w:rPr>
        <w:t>II odst. 1 pís</w:t>
      </w:r>
      <w:r w:rsidR="00FE16F8" w:rsidRPr="00672EF8">
        <w:rPr>
          <w:rFonts w:ascii="Arial" w:hAnsi="Arial" w:cs="Arial"/>
        </w:rPr>
        <w:t>m</w:t>
      </w:r>
      <w:r w:rsidR="00D31161" w:rsidRPr="00672EF8">
        <w:rPr>
          <w:rFonts w:ascii="Arial" w:hAnsi="Arial" w:cs="Arial"/>
        </w:rPr>
        <w:t>. a) a b).</w:t>
      </w:r>
    </w:p>
    <w:p w14:paraId="2443DE5D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5AB667E8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22BD0C1F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4986B6C3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501E24D7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F782951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2FD5E0C4" w14:textId="77777777" w:rsidR="00A04067" w:rsidRPr="00672EF8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672EF8">
        <w:rPr>
          <w:rFonts w:ascii="Arial" w:hAnsi="Arial" w:cs="Arial"/>
        </w:rPr>
        <w:t>projektov</w:t>
      </w:r>
      <w:r w:rsidR="00EF68E0" w:rsidRPr="00672EF8">
        <w:rPr>
          <w:rFonts w:ascii="Arial" w:hAnsi="Arial" w:cs="Arial"/>
        </w:rPr>
        <w:t>ou</w:t>
      </w:r>
      <w:r w:rsidRPr="00672EF8">
        <w:rPr>
          <w:rFonts w:ascii="Arial" w:hAnsi="Arial" w:cs="Arial"/>
        </w:rPr>
        <w:t xml:space="preserve"> dokumentac</w:t>
      </w:r>
      <w:r w:rsidR="00EF68E0" w:rsidRPr="00672EF8">
        <w:rPr>
          <w:rFonts w:ascii="Arial" w:hAnsi="Arial" w:cs="Arial"/>
        </w:rPr>
        <w:t>i</w:t>
      </w:r>
      <w:r w:rsidR="00832ED6" w:rsidRPr="00672EF8">
        <w:rPr>
          <w:rFonts w:ascii="Arial" w:hAnsi="Arial" w:cs="Arial"/>
        </w:rPr>
        <w:t xml:space="preserve"> stavby</w:t>
      </w:r>
      <w:r w:rsidR="00CF056E" w:rsidRPr="00672EF8">
        <w:rPr>
          <w:rFonts w:ascii="Arial" w:hAnsi="Arial" w:cs="Arial"/>
        </w:rPr>
        <w:t xml:space="preserve"> </w:t>
      </w:r>
      <w:r w:rsidR="00832ED6" w:rsidRPr="00672EF8">
        <w:rPr>
          <w:rFonts w:ascii="Arial" w:hAnsi="Arial" w:cs="Arial"/>
        </w:rPr>
        <w:t>„</w:t>
      </w:r>
      <w:r w:rsidR="00672EF8" w:rsidRPr="00672EF8">
        <w:rPr>
          <w:rFonts w:ascii="Arial" w:hAnsi="Arial" w:cs="Arial"/>
        </w:rPr>
        <w:t>Revitalizace dvora ZŠ Lidická</w:t>
      </w:r>
      <w:r w:rsidR="009A262D" w:rsidRPr="00672EF8">
        <w:rPr>
          <w:rFonts w:ascii="Arial" w:hAnsi="Arial" w:cs="Arial"/>
        </w:rPr>
        <w:t>“</w:t>
      </w:r>
      <w:r w:rsidR="003932C3" w:rsidRPr="00672EF8">
        <w:rPr>
          <w:rFonts w:ascii="Arial" w:hAnsi="Arial" w:cs="Arial"/>
        </w:rPr>
        <w:t xml:space="preserve"> zpracovan</w:t>
      </w:r>
      <w:r w:rsidR="002D4F56" w:rsidRPr="00672EF8">
        <w:rPr>
          <w:rFonts w:ascii="Arial" w:hAnsi="Arial" w:cs="Arial"/>
        </w:rPr>
        <w:t>ou</w:t>
      </w:r>
      <w:r w:rsidR="00672EF8" w:rsidRPr="00672EF8">
        <w:rPr>
          <w:rFonts w:ascii="Arial" w:hAnsi="Arial" w:cs="Arial"/>
        </w:rPr>
        <w:t xml:space="preserve"> Ing. Klárou Stachovou (ČKA04578)</w:t>
      </w:r>
      <w:r w:rsidR="00EF68E0" w:rsidRPr="00672EF8">
        <w:rPr>
          <w:rFonts w:ascii="Arial" w:hAnsi="Arial" w:cs="Arial"/>
        </w:rPr>
        <w:t>,</w:t>
      </w:r>
    </w:p>
    <w:p w14:paraId="3B1C9EF6" w14:textId="77777777" w:rsidR="00D31161" w:rsidRPr="00672EF8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672EF8">
        <w:rPr>
          <w:rFonts w:ascii="Arial" w:hAnsi="Arial" w:cs="Arial"/>
        </w:rPr>
        <w:t>soupis prací včetně výkaz</w:t>
      </w:r>
      <w:r w:rsidR="00D63CEF" w:rsidRPr="00672EF8">
        <w:rPr>
          <w:rFonts w:ascii="Arial" w:hAnsi="Arial" w:cs="Arial"/>
        </w:rPr>
        <w:t>ů</w:t>
      </w:r>
      <w:r w:rsidRPr="00672EF8">
        <w:rPr>
          <w:rFonts w:ascii="Arial" w:hAnsi="Arial" w:cs="Arial"/>
        </w:rPr>
        <w:t xml:space="preserve"> výměr</w:t>
      </w:r>
      <w:r w:rsidR="00D31161" w:rsidRPr="00672EF8">
        <w:rPr>
          <w:rFonts w:ascii="Arial" w:hAnsi="Arial" w:cs="Arial"/>
        </w:rPr>
        <w:t xml:space="preserve"> </w:t>
      </w:r>
      <w:r w:rsidR="00133278" w:rsidRPr="00672EF8">
        <w:rPr>
          <w:rFonts w:ascii="Arial" w:hAnsi="Arial" w:cs="Arial"/>
        </w:rPr>
        <w:t xml:space="preserve">a </w:t>
      </w:r>
      <w:r w:rsidR="00D31161" w:rsidRPr="00672EF8">
        <w:rPr>
          <w:rFonts w:ascii="Arial" w:hAnsi="Arial" w:cs="Arial"/>
        </w:rPr>
        <w:t xml:space="preserve">včetně </w:t>
      </w:r>
      <w:r w:rsidR="00133278" w:rsidRPr="00672EF8">
        <w:rPr>
          <w:rFonts w:ascii="Arial" w:hAnsi="Arial" w:cs="Arial"/>
        </w:rPr>
        <w:t xml:space="preserve">soupisu </w:t>
      </w:r>
      <w:r w:rsidR="00D31161" w:rsidRPr="00672EF8">
        <w:rPr>
          <w:rFonts w:ascii="Arial" w:hAnsi="Arial" w:cs="Arial"/>
        </w:rPr>
        <w:t>vedlejších a ostatních nákladů</w:t>
      </w:r>
      <w:r w:rsidR="00A04067" w:rsidRPr="00672EF8">
        <w:rPr>
          <w:rFonts w:ascii="Arial" w:hAnsi="Arial" w:cs="Arial"/>
        </w:rPr>
        <w:t>.</w:t>
      </w:r>
    </w:p>
    <w:p w14:paraId="540B2273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4A3582DF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01EA90D6" w14:textId="77777777" w:rsidR="00AC0FE8" w:rsidRPr="001C105A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 xml:space="preserve">ejpozději </w:t>
      </w:r>
      <w:r w:rsidR="00ED0229" w:rsidRPr="00672EF8">
        <w:rPr>
          <w:rFonts w:ascii="Arial" w:hAnsi="Arial" w:cs="Arial"/>
          <w:b/>
          <w:bCs/>
          <w:i/>
          <w:iCs/>
        </w:rPr>
        <w:t>nebo</w:t>
      </w:r>
      <w:r w:rsidR="00672EF8" w:rsidRPr="00672EF8">
        <w:rPr>
          <w:rFonts w:ascii="Arial" w:hAnsi="Arial" w:cs="Arial"/>
          <w:b/>
          <w:bCs/>
        </w:rPr>
        <w:t xml:space="preserve"> 10</w:t>
      </w:r>
      <w:r w:rsidR="00ED0229" w:rsidRPr="00672EF8">
        <w:rPr>
          <w:rFonts w:ascii="Arial" w:hAnsi="Arial" w:cs="Arial"/>
          <w:b/>
          <w:bCs/>
        </w:rPr>
        <w:t xml:space="preserve"> dnů</w:t>
      </w:r>
      <w:r w:rsidR="00ED0229" w:rsidRPr="00672EF8">
        <w:rPr>
          <w:rFonts w:ascii="Arial" w:hAnsi="Arial" w:cs="Arial"/>
        </w:rPr>
        <w:t xml:space="preserve"> po podpisu smlouvy</w:t>
      </w:r>
      <w:r w:rsidR="009F42D2" w:rsidRPr="00672EF8">
        <w:rPr>
          <w:rFonts w:ascii="Arial" w:hAnsi="Arial" w:cs="Arial"/>
        </w:rPr>
        <w:t>.</w:t>
      </w:r>
      <w:r w:rsidR="00ED0229" w:rsidRPr="00ED0229">
        <w:rPr>
          <w:rFonts w:ascii="Arial" w:hAnsi="Arial" w:cs="Arial"/>
        </w:rPr>
        <w:t xml:space="preserve"> </w:t>
      </w:r>
    </w:p>
    <w:p w14:paraId="1EC323D5" w14:textId="77777777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672EF8">
        <w:rPr>
          <w:rFonts w:ascii="Arial" w:hAnsi="Arial" w:cs="Arial"/>
          <w:b/>
          <w:bCs/>
        </w:rPr>
        <w:t>12.07.2024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672EF8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3F425DCD" w14:textId="77777777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672EF8">
        <w:rPr>
          <w:rFonts w:ascii="Arial" w:hAnsi="Arial" w:cs="Arial"/>
          <w:b/>
          <w:bCs/>
        </w:rPr>
        <w:t>31.10.2024</w:t>
      </w:r>
      <w:r w:rsidRPr="00ED0229">
        <w:rPr>
          <w:rFonts w:ascii="Arial" w:hAnsi="Arial" w:cs="Arial"/>
        </w:rPr>
        <w:t>.</w:t>
      </w:r>
    </w:p>
    <w:p w14:paraId="70154D86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5D442B" w:rsidRPr="00672EF8">
        <w:rPr>
          <w:rFonts w:ascii="Arial" w:hAnsi="Arial" w:cs="Arial"/>
          <w:b/>
          <w:bCs/>
        </w:rPr>
        <w:t>5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7C4BF587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091732F5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5A0A9EAB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6475F2C4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1BEF3195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424DD594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3F076E4D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1B1F4A27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14:paraId="1A6C8D44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51742E09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71170248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1ABF7D6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3F3A3B4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672EF8">
        <w:rPr>
          <w:rFonts w:ascii="Arial" w:hAnsi="Arial" w:cs="Arial"/>
        </w:rPr>
        <w:t>neposkytuje zálohy a zhotovitel zálohy nebude požadovat.</w:t>
      </w:r>
      <w:r w:rsidRPr="001C105A">
        <w:rPr>
          <w:rFonts w:ascii="Arial" w:hAnsi="Arial" w:cs="Arial"/>
        </w:rPr>
        <w:t xml:space="preserve"> </w:t>
      </w:r>
    </w:p>
    <w:p w14:paraId="3800AD0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0CFA6253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</w:t>
      </w:r>
      <w:r w:rsidRPr="00672EF8">
        <w:rPr>
          <w:rFonts w:ascii="Arial" w:hAnsi="Arial" w:cs="Arial"/>
        </w:rPr>
        <w:t xml:space="preserve">neboť přijaté zdanitelné plnění se netýká ekonomické činnosti ve smyslu stanoviska Generálního finančního ředitelství a Ministerstva financí ze dne </w:t>
      </w:r>
      <w:r w:rsidR="00EF68E0" w:rsidRPr="00672EF8">
        <w:rPr>
          <w:rFonts w:ascii="Arial" w:hAnsi="Arial" w:cs="Arial"/>
        </w:rPr>
        <w:t>0</w:t>
      </w:r>
      <w:r w:rsidRPr="00672EF8">
        <w:rPr>
          <w:rFonts w:ascii="Arial" w:hAnsi="Arial" w:cs="Arial"/>
        </w:rPr>
        <w:t>9.1</w:t>
      </w:r>
      <w:r w:rsidR="00EF68E0" w:rsidRPr="00672EF8">
        <w:rPr>
          <w:rFonts w:ascii="Arial" w:hAnsi="Arial" w:cs="Arial"/>
        </w:rPr>
        <w:t>1</w:t>
      </w:r>
      <w:r w:rsidRPr="00672EF8">
        <w:rPr>
          <w:rFonts w:ascii="Arial" w:hAnsi="Arial" w:cs="Arial"/>
        </w:rPr>
        <w:t>.2011</w:t>
      </w:r>
      <w:r w:rsidR="00EF68E0" w:rsidRPr="00672EF8">
        <w:rPr>
          <w:rFonts w:ascii="Arial" w:hAnsi="Arial" w:cs="Arial"/>
        </w:rPr>
        <w:t>,</w:t>
      </w:r>
      <w:r w:rsidRPr="00672EF8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672EF8">
        <w:rPr>
          <w:rFonts w:ascii="Arial" w:hAnsi="Arial" w:cs="Arial"/>
        </w:rPr>
        <w:t>dani z </w:t>
      </w:r>
      <w:r w:rsidR="001A7D46" w:rsidRPr="00672EF8">
        <w:rPr>
          <w:rFonts w:ascii="Arial" w:hAnsi="Arial" w:cs="Arial"/>
        </w:rPr>
        <w:softHyphen/>
        <w:t>přidané hodnoty</w:t>
      </w:r>
      <w:r w:rsidR="00EF68E0" w:rsidRPr="00672EF8">
        <w:rPr>
          <w:rFonts w:ascii="Arial" w:hAnsi="Arial" w:cs="Arial"/>
        </w:rPr>
        <w:t>,</w:t>
      </w:r>
      <w:r w:rsidRPr="00672EF8">
        <w:rPr>
          <w:rFonts w:ascii="Arial" w:hAnsi="Arial" w:cs="Arial"/>
        </w:rPr>
        <w:t xml:space="preserve"> v platném znění.</w:t>
      </w:r>
      <w:r w:rsidRPr="00672EF8">
        <w:rPr>
          <w:rStyle w:val="Znakapoznpodarou"/>
          <w:rFonts w:ascii="Arial" w:hAnsi="Arial" w:cs="Arial"/>
        </w:rPr>
        <w:footnoteReference w:id="1"/>
      </w:r>
      <w:r w:rsidRPr="001C105A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7C9AC4E5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58806E9D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52206CC1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672EF8">
        <w:rPr>
          <w:rFonts w:ascii="Arial" w:hAnsi="Arial" w:cs="Arial"/>
        </w:rPr>
        <w:t>15</w:t>
      </w:r>
      <w:r w:rsidRPr="00672EF8">
        <w:rPr>
          <w:rFonts w:ascii="Arial" w:hAnsi="Arial" w:cs="Arial"/>
        </w:rPr>
        <w:t xml:space="preserve"> dnů</w:t>
      </w:r>
      <w:r w:rsidRPr="001C105A">
        <w:rPr>
          <w:rFonts w:ascii="Arial" w:hAnsi="Arial" w:cs="Arial"/>
        </w:rPr>
        <w:t xml:space="preserve"> od jejího vystavení, ne však kratší než </w:t>
      </w:r>
      <w:r w:rsidR="00165DE3" w:rsidRPr="00672EF8">
        <w:rPr>
          <w:rFonts w:ascii="Arial" w:hAnsi="Arial" w:cs="Arial"/>
        </w:rPr>
        <w:t>15</w:t>
      </w:r>
      <w:r w:rsidRPr="00672EF8">
        <w:rPr>
          <w:rFonts w:ascii="Arial" w:hAnsi="Arial" w:cs="Arial"/>
          <w:bCs/>
        </w:rPr>
        <w:t xml:space="preserve"> </w:t>
      </w:r>
      <w:r w:rsidRPr="00672EF8">
        <w:rPr>
          <w:rFonts w:ascii="Arial" w:hAnsi="Arial" w:cs="Arial"/>
        </w:rPr>
        <w:t>dnů</w:t>
      </w:r>
      <w:r w:rsidRPr="001C105A">
        <w:rPr>
          <w:rFonts w:ascii="Arial" w:hAnsi="Arial" w:cs="Arial"/>
        </w:rPr>
        <w:t xml:space="preserve"> od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jejího doručení objednateli. </w:t>
      </w:r>
    </w:p>
    <w:p w14:paraId="40F8FB49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Pr="00672EF8">
        <w:rPr>
          <w:rFonts w:ascii="Arial" w:hAnsi="Arial" w:cs="Arial"/>
        </w:rPr>
        <w:t xml:space="preserve">zadrží </w:t>
      </w:r>
      <w:r w:rsidRPr="00672EF8">
        <w:rPr>
          <w:rFonts w:ascii="Arial" w:hAnsi="Arial" w:cs="Arial"/>
          <w:bCs/>
        </w:rPr>
        <w:t>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2ACCEAD3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1259693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je povinen předat zhotoviteli staveniště protokolárně. V protokolu bude stav staveniště popsán. Objednatel prohlašuje, že zhotoviteli bude staveniště předáno prosté práv </w:t>
      </w:r>
      <w:r w:rsidRPr="001C105A">
        <w:rPr>
          <w:rFonts w:ascii="Arial" w:hAnsi="Arial" w:cs="Arial"/>
        </w:rPr>
        <w:lastRenderedPageBreak/>
        <w:t>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0B25035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25FD331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7D9CB138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7F47AB5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7B84844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25D2FAF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29F1F27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41EF0C21" w14:textId="77777777" w:rsidR="00C5407F" w:rsidRPr="00672EF8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672EF8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672EF8">
        <w:rPr>
          <w:rFonts w:cs="Tahoma"/>
          <w:snapToGrid w:val="0"/>
        </w:rPr>
        <w:t xml:space="preserve"> </w:t>
      </w:r>
      <w:r w:rsidR="002E71FA" w:rsidRPr="00672EF8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0AB12C7A" w14:textId="77777777" w:rsidR="00367CE7" w:rsidRPr="00C5407F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</w:t>
      </w:r>
      <w:r w:rsidRPr="00C5407F">
        <w:rPr>
          <w:rFonts w:ascii="Arial" w:hAnsi="Arial" w:cs="Arial"/>
        </w:rPr>
        <w:lastRenderedPageBreak/>
        <w:t xml:space="preserve">pracovními pomůckami. </w:t>
      </w:r>
      <w:r w:rsidR="00C5407F" w:rsidRPr="00672EF8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14:paraId="4A03F9AB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158DFB8D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02F80F51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017047A8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4B79B879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17A6CC8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7500FDDA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421797D8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1E2918D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29AB45CD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2AA1A4D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163C8327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2A801C80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0FD23039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0D90A66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014C2033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607BFE25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0FD1C56F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7D8FF927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672EF8">
        <w:rPr>
          <w:rFonts w:ascii="Arial" w:hAnsi="Arial" w:cs="Arial"/>
        </w:rPr>
        <w:t>pozastávky 10 %</w:t>
      </w:r>
      <w:r w:rsidRPr="001C105A">
        <w:rPr>
          <w:rFonts w:ascii="Arial" w:hAnsi="Arial" w:cs="Arial"/>
        </w:rPr>
        <w:t xml:space="preserve"> z</w:t>
      </w:r>
      <w:r w:rsidR="007404C7" w:rsidRPr="001C105A">
        <w:rPr>
          <w:rFonts w:ascii="Arial" w:hAnsi="Arial" w:cs="Arial"/>
        </w:rPr>
        <w:t xml:space="preserve"> celkové </w:t>
      </w:r>
      <w:r w:rsidRPr="001C105A">
        <w:rPr>
          <w:rFonts w:ascii="Arial" w:hAnsi="Arial" w:cs="Arial"/>
        </w:rPr>
        <w:t>ceny díla.</w:t>
      </w:r>
    </w:p>
    <w:p w14:paraId="17565876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68C741E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354F8727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4700BE5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02938513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7064DF79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68DE204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2C89A70D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37DA7457" w14:textId="7777777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672EF8">
        <w:rPr>
          <w:rFonts w:ascii="Arial" w:hAnsi="Arial" w:cs="Arial"/>
        </w:rPr>
        <w:t>31.10.2024</w:t>
      </w:r>
      <w:r w:rsidR="009A7229" w:rsidRPr="001C105A">
        <w:rPr>
          <w:rFonts w:ascii="Arial" w:hAnsi="Arial" w:cs="Arial"/>
        </w:rPr>
        <w:t>.</w:t>
      </w:r>
    </w:p>
    <w:p w14:paraId="52AE068B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672EF8">
        <w:rPr>
          <w:rFonts w:ascii="Arial" w:hAnsi="Arial" w:cs="Arial"/>
        </w:rPr>
        <w:t>31.10.2024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793DF3A2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58B898B1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3CC6AE78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2D200836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40E7D88F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196BB0BB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5367B40C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4C732074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77B0D1C9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556D0F71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53F652F8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bude zhotovitel v prodlení s dokončením díla, zaplatí objednateli smluvní pokutu ve výši </w:t>
      </w:r>
      <w:r w:rsidR="000607B6" w:rsidRPr="006A4E3B">
        <w:rPr>
          <w:rFonts w:ascii="Arial" w:hAnsi="Arial" w:cs="Arial"/>
        </w:rPr>
        <w:t>2</w:t>
      </w:r>
      <w:r w:rsidR="005E5C47" w:rsidRPr="006A4E3B">
        <w:rPr>
          <w:rFonts w:ascii="Arial" w:hAnsi="Arial" w:cs="Arial"/>
        </w:rPr>
        <w:t>.</w:t>
      </w:r>
      <w:r w:rsidRPr="006A4E3B">
        <w:rPr>
          <w:rFonts w:ascii="Arial" w:hAnsi="Arial" w:cs="Arial"/>
        </w:rPr>
        <w:t xml:space="preserve">000 Kč (slovy: </w:t>
      </w:r>
      <w:r w:rsidR="000607B6" w:rsidRPr="006A4E3B">
        <w:rPr>
          <w:rFonts w:ascii="Arial" w:hAnsi="Arial" w:cs="Arial"/>
        </w:rPr>
        <w:t>Dva</w:t>
      </w:r>
      <w:r w:rsidRPr="006A4E3B">
        <w:rPr>
          <w:rFonts w:ascii="Arial" w:hAnsi="Arial" w:cs="Arial"/>
        </w:rPr>
        <w:t>tisíc</w:t>
      </w:r>
      <w:r w:rsidR="000607B6" w:rsidRPr="006A4E3B">
        <w:rPr>
          <w:rFonts w:ascii="Arial" w:hAnsi="Arial" w:cs="Arial"/>
        </w:rPr>
        <w:t>e</w:t>
      </w:r>
      <w:r w:rsidRPr="006A4E3B">
        <w:rPr>
          <w:rFonts w:ascii="Arial" w:hAnsi="Arial" w:cs="Arial"/>
        </w:rPr>
        <w:t xml:space="preserve"> korun českých)</w:t>
      </w:r>
      <w:r w:rsidRPr="00FE0E56">
        <w:rPr>
          <w:rFonts w:ascii="Arial" w:hAnsi="Arial" w:cs="Arial"/>
        </w:rPr>
        <w:t xml:space="preserve"> </w:t>
      </w:r>
      <w:r w:rsidRPr="00D55ACB">
        <w:rPr>
          <w:rFonts w:ascii="Arial" w:hAnsi="Arial" w:cs="Arial"/>
        </w:rPr>
        <w:t>za každý den prodlení,</w:t>
      </w:r>
    </w:p>
    <w:p w14:paraId="2BD9C3AB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výši </w:t>
      </w:r>
      <w:r w:rsidRPr="006A4E3B">
        <w:rPr>
          <w:rFonts w:ascii="Arial" w:hAnsi="Arial" w:cs="Arial"/>
        </w:rPr>
        <w:t>1</w:t>
      </w:r>
      <w:r w:rsidR="005E5C47" w:rsidRPr="006A4E3B">
        <w:rPr>
          <w:rFonts w:ascii="Arial" w:hAnsi="Arial" w:cs="Arial"/>
        </w:rPr>
        <w:t>.</w:t>
      </w:r>
      <w:r w:rsidRPr="006A4E3B">
        <w:rPr>
          <w:rFonts w:ascii="Arial" w:hAnsi="Arial" w:cs="Arial"/>
        </w:rPr>
        <w:t xml:space="preserve">000 Kč (slovy: Jedentisíc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5C344D36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5D830581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06770D7E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204D5645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51F35115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7E7A7F6C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3C77488C" w14:textId="77777777" w:rsidR="00C23586" w:rsidRPr="006A4E3B" w:rsidRDefault="00C2358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6A4E3B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4726F581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6A4E3B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3CA53D1D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2A2666EA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1E46EFA2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2263DE6A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6C5843B3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112A16E7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16BD4C8D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772E6C46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6A4E3B" w:rsidRPr="006A4E3B">
        <w:rPr>
          <w:rFonts w:ascii="Arial" w:hAnsi="Arial" w:cs="Arial"/>
        </w:rPr>
        <w:t>5</w:t>
      </w:r>
      <w:r w:rsidR="00805EA4" w:rsidRPr="006A4E3B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4AFCBC54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5CD1C8F1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7716AB00" w14:textId="77777777" w:rsidR="00F6672F" w:rsidRPr="006A4E3B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6A4E3B">
        <w:rPr>
          <w:rFonts w:ascii="Arial" w:hAnsi="Arial" w:cs="Arial"/>
        </w:rPr>
        <w:t xml:space="preserve">Uzavření této smlouvy bylo schváleno Radou města Dobříše dne ………………… usnesením č.  …………… . </w:t>
      </w:r>
    </w:p>
    <w:p w14:paraId="3BAB1CF4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2E82A385" w14:textId="77777777" w:rsidR="00D24176" w:rsidRPr="006A4E3B" w:rsidRDefault="00F6485E" w:rsidP="006A4E3B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64C7E7DA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D24176" w:rsidRPr="001C105A">
        <w:rPr>
          <w:rFonts w:ascii="Arial" w:hAnsi="Arial" w:cs="Arial"/>
        </w:rPr>
        <w:t>3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64167B6C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4D89C749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39AF0852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0ADF129A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AD94522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C3E031D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20A609B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0328D189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9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74AC8" w14:textId="77777777" w:rsidR="00672EF8" w:rsidRDefault="00672EF8" w:rsidP="00F21471">
      <w:pPr>
        <w:spacing w:after="0" w:line="240" w:lineRule="auto"/>
      </w:pPr>
      <w:r>
        <w:separator/>
      </w:r>
    </w:p>
  </w:endnote>
  <w:endnote w:type="continuationSeparator" w:id="0">
    <w:p w14:paraId="049C99F3" w14:textId="77777777" w:rsidR="00672EF8" w:rsidRDefault="00672EF8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2BAB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07B1FAB1" w14:textId="0377936C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795F36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795F36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6149F" w14:textId="77777777" w:rsidR="00672EF8" w:rsidRDefault="00672EF8" w:rsidP="00F21471">
      <w:pPr>
        <w:spacing w:after="0" w:line="240" w:lineRule="auto"/>
      </w:pPr>
      <w:r>
        <w:separator/>
      </w:r>
    </w:p>
  </w:footnote>
  <w:footnote w:type="continuationSeparator" w:id="0">
    <w:p w14:paraId="77B0557A" w14:textId="77777777" w:rsidR="00672EF8" w:rsidRDefault="00672EF8" w:rsidP="00F21471">
      <w:pPr>
        <w:spacing w:after="0" w:line="240" w:lineRule="auto"/>
      </w:pPr>
      <w:r>
        <w:continuationSeparator/>
      </w:r>
    </w:p>
  </w:footnote>
  <w:footnote w:id="1">
    <w:p w14:paraId="067B567E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F8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2EF8"/>
    <w:rsid w:val="00677FAE"/>
    <w:rsid w:val="00682750"/>
    <w:rsid w:val="006879E8"/>
    <w:rsid w:val="00690CA9"/>
    <w:rsid w:val="0069773A"/>
    <w:rsid w:val="006A4E3B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95F36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D873B"/>
  <w14:defaultImageDpi w14:val="0"/>
  <w15:docId w15:val="{E55B018F-E31E-488F-8A92-5AFC5253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cova@mestodobr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bor%20m&#237;stn&#237;ho%20rozvoje\Ve&#345;ejn&#233;%20zak&#225;zky\V&#344;%202024\VZMR%20-%20Revitalizace%20&#353;koln&#237;ho%20dvorku%20Z&#352;%20Lidick&#225;\V&#253;zva%20+%20zad&#225;vac&#237;%20dokumentace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292E-9547-4F2F-A286-B5F0F49C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12</TotalTime>
  <Pages>10</Pages>
  <Words>3499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Samcová Markéta</dc:creator>
  <cp:keywords/>
  <dc:description/>
  <cp:lastModifiedBy>Samcová Markéta</cp:lastModifiedBy>
  <cp:revision>2</cp:revision>
  <dcterms:created xsi:type="dcterms:W3CDTF">2024-06-12T08:37:00Z</dcterms:created>
  <dcterms:modified xsi:type="dcterms:W3CDTF">2024-06-12T08:50:00Z</dcterms:modified>
</cp:coreProperties>
</file>